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52.png" ContentType="image/png"/>
  <Override PartName="/word/media/rId5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2025-08-15</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bookmarkEnd w:id="24"/>
    <w:bookmarkStart w:id="25"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realised networks (which represent the subset of potential that are realised as a result of community and environmental context), and structural networks (species agnostic networks that are structurally informative). Here also talk about the implications of these different networks types - different uses and capturing different processes. Speciifcally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p>
      <w:pPr>
        <w:pStyle w:val="BodyText"/>
      </w:pPr>
      <w:r>
        <w:t xml:space="preserve">Think about the axes - trait-based/mechanistic model (metawebs) and then we have the statistical/theoretical models (which have their own mini axis of regression vs full theory models…</w:t>
      </w:r>
    </w:p>
    <w:p>
      <w:pPr>
        <w:pStyle w:val="BodyText"/>
      </w:pPr>
      <w:r>
        <w:t xml:space="preserve">Need to link to</w:t>
      </w:r>
      <w:r>
        <w:t xml:space="preserve"> </w:t>
      </w:r>
      <w:r>
        <w:t xml:space="preserve">[18]</w:t>
      </w:r>
      <w:r>
        <w:t xml:space="preserve"> </w:t>
      </w:r>
      <w:r>
        <w:t xml:space="preserve">here.</w:t>
      </w:r>
    </w:p>
    <w:bookmarkEnd w:id="25"/>
    <w:bookmarkStart w:id="37"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7" w:name="approaches-to-food-web-prediction"/>
    <w:p>
      <w:pPr>
        <w:pStyle w:val="Heading2"/>
      </w:pPr>
      <w:r>
        <w:t xml:space="preserve">3.1 Approaches to food web prediction</w:t>
      </w:r>
    </w:p>
    <w:p>
      <w:pPr>
        <w:pStyle w:val="FirstParagraph"/>
      </w:pPr>
      <w:r>
        <w:t xml:space="preserve">Here we should take the time to go in and just articulate that there are nuance and differences in terms of predicting interactions vs predicting networks. Once it is finally on a preprint server we can obviously link to the T4T stuff…</w:t>
      </w:r>
    </w:p>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6"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metaweb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metaweb??</w:t>
                  </w:r>
                </w:p>
              </w:tc>
              <w:tc>
                <w:tcPr/>
                <w:p>
                  <w:pPr>
                    <w:pStyle w:val="Compact"/>
                    <w:jc w:val="center"/>
                  </w:pPr>
                  <w:r>
                    <w:t xml:space="preserve">[24]</w:t>
                  </w:r>
                </w:p>
              </w:tc>
            </w:tr>
          </w:tbl>
          <w:bookmarkEnd w:id="26"/>
          <w:p/>
        </w:tc>
      </w:tr>
    </w:tbl>
    <w:bookmarkEnd w:id="27"/>
    <w:bookmarkStart w:id="32" w:name="structural-models"/>
    <w:p>
      <w:pPr>
        <w:pStyle w:val="Heading2"/>
      </w:pPr>
      <w:r>
        <w:t xml:space="preserve">3.2 Structural models</w:t>
      </w:r>
    </w:p>
    <w:bookmarkStart w:id="28" w:name="random-model"/>
    <w:p>
      <w:pPr>
        <w:pStyle w:val="Heading3"/>
      </w:pPr>
      <w:r>
        <w:t xml:space="preserve">3.2.1 Random model</w:t>
      </w:r>
    </w:p>
    <w:p>
      <w:pPr>
        <w:pStyle w:val="FirstParagraph"/>
      </w:pPr>
      <w:r>
        <w:t xml:space="preserve">The Erdős–Rényi random graph model</w:t>
      </w:r>
      <w:r>
        <w:t xml:space="preserve"> </w:t>
      </w:r>
      <w:r>
        <w:t xml:space="preserve">[21]</w:t>
      </w:r>
      <w:r>
        <w:t xml:space="preserve"> </w:t>
      </w:r>
      <w:r>
        <w:t xml:space="preserve">uniformly at random assigns an</w:t>
      </w:r>
      <w:r>
        <w:t xml:space="preserve"> </w:t>
      </w:r>
      <m:oMath>
        <m:r>
          <m:t>L</m:t>
        </m:r>
      </m:oMath>
      <w:r>
        <w:t xml:space="preserve"> </w:t>
      </w:r>
      <w:r>
        <w:t xml:space="preserve">number of links to an</w:t>
      </w:r>
      <w:r>
        <w:t xml:space="preserve"> </w:t>
      </w:r>
      <m:oMath>
        <m:r>
          <m:t>S</m:t>
        </m:r>
      </m:oMath>
      <w:r>
        <w:t xml:space="preserve"> </w:t>
      </w:r>
      <w:r>
        <w:t xml:space="preserve">number of nodes (species richness). From an ecological perspective this model assumes that the interactions between species occurs regardless of the identity of the species (</w:t>
      </w:r>
      <w:r>
        <w:rPr>
          <w:i/>
          <w:iCs/>
        </w:rPr>
        <w:t xml:space="preserve">i.e.,</w:t>
      </w:r>
      <w:r>
        <w:t xml:space="preserve"> </w:t>
      </w:r>
      <w:r>
        <w:t xml:space="preserve">species have no agency) and links are randomly distributed throughout the network. This creates a food web that is as free as possible from biological structuring while maintaining the expected richness</w:t>
      </w:r>
      <w:r>
        <w:t xml:space="preserve"> </w:t>
      </w:r>
      <w:r>
        <w:rPr>
          <w:i/>
          <w:iCs/>
        </w:rPr>
        <w:t xml:space="preserve">(</w:t>
      </w:r>
      <m:oMath>
        <m:r>
          <m:t>S</m:t>
        </m:r>
      </m:oMath>
      <w:r>
        <w:t xml:space="preserve">) and connectance (</w:t>
      </w:r>
      <m:oMath>
        <m:r>
          <m:t>L</m:t>
        </m:r>
        <m:r>
          <m:rPr>
            <m:sty m:val="p"/>
          </m:rPr>
          <m:t>/</m:t>
        </m:r>
        <m:sSup>
          <m:e>
            <m:r>
              <m:t>S</m:t>
            </m:r>
          </m:e>
          <m:sup>
            <m:r>
              <m:t>2</m:t>
            </m:r>
          </m:sup>
        </m:sSup>
      </m:oMath>
      <w:r>
        <w:t xml:space="preserve">)</w:t>
      </w:r>
    </w:p>
    <w:p>
      <w:pPr>
        <w:pStyle w:val="BlockText"/>
      </w:pPr>
      <w:r>
        <w:t xml:space="preserve">We could theoretically use the other</w:t>
      </w:r>
      <w:r>
        <w:t xml:space="preserve"> </w:t>
      </w:r>
      <w:r>
        <w:t xml:space="preserve">‘null models’</w:t>
      </w:r>
      <w:r>
        <w:t xml:space="preserve"> </w:t>
      </w:r>
      <w:r>
        <w:t xml:space="preserve">BUT I feel like in the context of constructing a network for a given community the Erdős–Rényi is the better choice than the other models that (IMO) are more suited to hypothesis testing e.g. do observed networks differ from the null network… Whereas Erdős–Rényi really is just a case of here is a truly random network with the specified number of links and nodes and anyway one of the Null models is a derivative of Erdős–Rényi if I remember correctly.</w:t>
      </w:r>
    </w:p>
    <w:bookmarkEnd w:id="28"/>
    <w:bookmarkStart w:id="29" w:name="niche-model"/>
    <w:p>
      <w:pPr>
        <w:pStyle w:val="Heading3"/>
      </w:pPr>
      <w:r>
        <w:t xml:space="preserve">3.2.2 Niche model</w:t>
      </w:r>
    </w:p>
    <w:p>
      <w:pPr>
        <w:pStyle w:val="FirstParagraph"/>
      </w:pPr>
      <w:r>
        <w:t xml:space="preserve">The niche model</w:t>
      </w:r>
      <w:r>
        <w:t xml:space="preserve"> </w:t>
      </w:r>
      <w:r>
        <w:t xml:space="preserve">[25]</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w:t>
      </w:r>
      <m:oMath>
        <m:r>
          <m:t>C</m:t>
        </m:r>
        <m:r>
          <m:t>o</m:t>
        </m:r>
      </m:oMath>
      <w:r>
        <w:t xml:space="preserv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[17]</w:t>
      </w:r>
      <w:r>
        <w:t xml:space="preserve">.</w:t>
      </w:r>
    </w:p>
    <w:p>
      <w:pPr>
        <w:pStyle w:val="BodyText"/>
      </w:pPr>
      <w:r>
        <w:t xml:space="preserve">Each of</w:t>
      </w:r>
      <w:r>
        <w:t xml:space="preserve"> </w:t>
      </w:r>
      <m:oMath>
        <m:r>
          <m:t>S</m:t>
        </m:r>
      </m:oMath>
      <w:r>
        <w:t xml:space="preserve"> </w:t>
      </w:r>
      <w:r>
        <w:t xml:space="preserve">species assigned a</w:t>
      </w:r>
      <w:r>
        <w:t xml:space="preserve"> </w:t>
      </w:r>
      <w:r>
        <w:t xml:space="preserve">‘niche value’</w:t>
      </w:r>
      <w:r>
        <w:t xml:space="preserve"> </w:t>
      </w:r>
      <w:r>
        <w:t xml:space="preserve">parameter</w:t>
      </w:r>
      <w:r>
        <w:t xml:space="preserve"> </w:t>
      </w:r>
      <m:oMath>
        <m:sSub>
          <m:e>
            <m:r>
              <m:t>n</m:t>
            </m:r>
          </m:e>
          <m:sub>
            <m:r>
              <m:t>i</m:t>
            </m:r>
          </m:sub>
        </m:sSub>
      </m:oMath>
      <w:r>
        <w:t xml:space="preserve"> </w:t>
      </w:r>
      <w:r>
        <w:t xml:space="preserve">drawn uniformly from the interval [0,1]. Species</w:t>
      </w:r>
      <w:r>
        <w:t xml:space="preserve"> </w:t>
      </w:r>
      <m:oMath>
        <m:r>
          <m:t>i</m:t>
        </m:r>
      </m:oMath>
      <w:r>
        <w:t xml:space="preserve"> </w:t>
      </w:r>
      <w:r>
        <w:t xml:space="preserve">consumes all species falling in a range (</w:t>
      </w:r>
      <m:oMath>
        <m:sSub>
          <m:e>
            <m:r>
              <m:t>r</m:t>
            </m:r>
          </m:e>
          <m:sub>
            <m:r>
              <m:t>i</m:t>
            </m:r>
          </m:sub>
        </m:sSub>
      </m:oMath>
      <w:r>
        <w:t xml:space="preserve">) that is placed by uniformly drawing the center of the range (</w:t>
      </w:r>
      <m:oMath>
        <m:sSub>
          <m:e>
            <m:r>
              <m:t>c</m:t>
            </m:r>
          </m:e>
          <m:sub>
            <m:r>
              <m:t>i</m:t>
            </m:r>
          </m:sub>
        </m:sSub>
      </m:oMath>
      <w:r>
        <w:t xml:space="preserve">) from</w:t>
      </w:r>
      <w:r>
        <w:t xml:space="preserve"> </w:t>
      </w:r>
      <m:oMath>
        <m:d>
          <m:dPr>
            <m:begChr m:val="["/>
            <m:sepChr m:val=""/>
            <m:endChr m:val="]"/>
            <m:grow/>
          </m:dPr>
          <m:e>
            <m:f>
              <m:fPr>
                <m:type m:val="bar"/>
              </m:fPr>
              <m:num>
                <m:sSub>
                  <m:e>
                    <m:r>
                      <m:t>r</m:t>
                    </m:r>
                  </m:e>
                  <m:sub>
                    <m:r>
                      <m:t>i</m:t>
                    </m:r>
                  </m:sub>
                </m:sSub>
              </m:num>
              <m:den>
                <m:r>
                  <m:t>2</m:t>
                </m:r>
              </m:den>
            </m:f>
            <m:r>
              <m:rPr>
                <m:sty m:val="p"/>
              </m:rPr>
              <m:t>,</m:t>
            </m:r>
            <m:sSub>
              <m:e>
                <m:r>
                  <m:t>n</m:t>
                </m:r>
              </m:e>
              <m:sub>
                <m:r>
                  <m:t>i</m:t>
                </m:r>
              </m:sub>
            </m:sSub>
          </m:e>
        </m:d>
      </m:oMath>
      <w:r>
        <w:t xml:space="preserve"> </w:t>
      </w:r>
      <w:r>
        <w:t xml:space="preserve">The size of</w:t>
      </w:r>
      <w:r>
        <w:t xml:space="preserve"> </w:t>
      </w:r>
      <m:oMath>
        <m:sSub>
          <m:e>
            <m:r>
              <m:t>r</m:t>
            </m:r>
          </m:e>
          <m:sub>
            <m:r>
              <m:t>i</m:t>
            </m:r>
          </m:sub>
        </m:sSub>
      </m:oMath>
      <w:r>
        <w:t xml:space="preserve"> </w:t>
      </w:r>
      <w:r>
        <w:t xml:space="preserve">is assigned by using a beta function to randomly draw values from [0,1] whose expected value is</w:t>
      </w:r>
      <w:r>
        <w:t xml:space="preserve"> </w:t>
      </w:r>
      <m:oMath>
        <m:r>
          <m:t>2</m:t>
        </m:r>
        <m:r>
          <m:rPr>
            <m:sty m:val="p"/>
          </m:rPr>
          <m:t>×</m:t>
        </m:r>
        <m:r>
          <m:t>C</m:t>
        </m:r>
        <m:r>
          <m:t>o</m:t>
        </m:r>
      </m:oMath>
      <w:r>
        <w:t xml:space="preserve"> </w:t>
      </w:r>
      <w:r>
        <w:t xml:space="preserve">and then multiplying that value by</w:t>
      </w:r>
      <w:r>
        <w:t xml:space="preserve"> </w:t>
      </w:r>
      <m:oMath>
        <m:sSub>
          <m:e>
            <m:r>
              <m:t>n</m:t>
            </m:r>
          </m:e>
          <m:sub>
            <m:r>
              <m:t>i</m:t>
            </m:r>
          </m:sub>
        </m:sSub>
      </m:oMath>
      <w:r>
        <w:t xml:space="preserve"> </w:t>
      </w:r>
      <w:r>
        <w:t xml:space="preserve">to obtain the desired</w:t>
      </w:r>
      <w:r>
        <w:t xml:space="preserve"> </w:t>
      </w:r>
      <m:oMath>
        <m:r>
          <m:t>C</m:t>
        </m:r>
        <m:r>
          <m:t>o</m:t>
        </m:r>
      </m:oMath>
      <w:r>
        <w:t xml:space="preserve">.</w:t>
      </w:r>
    </w:p>
    <w:bookmarkEnd w:id="29"/>
    <w:bookmarkStart w:id="30" w:name="allometric-diet-breadth-model"/>
    <w:p>
      <w:pPr>
        <w:pStyle w:val="Heading3"/>
      </w:pPr>
      <w:r>
        <w:t xml:space="preserve">3.2.3 Allometric diet breadth model</w:t>
      </w:r>
    </w:p>
    <w:p>
      <w:pPr>
        <w:pStyle w:val="FirstParagraph"/>
      </w:pPr>
      <w:r>
        <w:t xml:space="preserve">The Allometric diet breadth model (ADBM;</w:t>
      </w:r>
      <w:r>
        <w:t xml:space="preserve"> </w:t>
      </w:r>
      <w:r>
        <w:t xml:space="preserve">[22]</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oMath>
      </m:oMathPara>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[22]</w:t>
      </w:r>
      <w:r>
        <w:t xml:space="preserve"> </w:t>
      </w:r>
      <w:r>
        <w:t xml:space="preserve">for more details as to how these different terms are parametrised.</w:t>
      </w:r>
    </w:p>
    <w:bookmarkEnd w:id="30"/>
    <w:bookmarkStart w:id="31" w:name="l-matrix"/>
    <w:p>
      <w:pPr>
        <w:pStyle w:val="Heading3"/>
      </w:pPr>
      <w:r>
        <w:t xml:space="preserve">3.2.4 L matrix</w:t>
      </w:r>
    </w:p>
    <w:p>
      <w:pPr>
        <w:pStyle w:val="FirstParagraph"/>
      </w:pPr>
      <w:r>
        <w:t xml:space="preserve">For now we can link to the ATNr package</w:t>
      </w:r>
      <w:r>
        <w:t xml:space="preserve"> </w:t>
      </w:r>
      <w:r>
        <w:t xml:space="preserve">[26]</w:t>
      </w:r>
      <w:r>
        <w:t xml:space="preserve"> </w:t>
      </w:r>
      <w:r>
        <w:t xml:space="preserve">until I can find a more suitable manuscript that breaks down this construction method.</w:t>
      </w:r>
      <w:r>
        <w:t xml:space="preserve"> </w:t>
      </w:r>
      <w:r>
        <w:t xml:space="preserve">[23]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1"/>
    <w:bookmarkEnd w:id="32"/>
    <w:bookmarkStart w:id="36" w:name="interaction-predictions"/>
    <w:p>
      <w:pPr>
        <w:pStyle w:val="Heading2"/>
      </w:pPr>
      <w:r>
        <w:t xml:space="preserve">3.3 Interaction predictions</w:t>
      </w:r>
    </w:p>
    <w:bookmarkStart w:id="33" w:name="paleo-food-web-inference-model"/>
    <w:p>
      <w:pPr>
        <w:pStyle w:val="Heading3"/>
      </w:pPr>
      <w:r>
        <w:t xml:space="preserve">3.3.1 Paleo food web inference model</w:t>
      </w:r>
    </w:p>
    <w:p>
      <w:pPr>
        <w:pStyle w:val="FirstParagraph"/>
      </w:pPr>
      <w:r>
        <w:t xml:space="preserve">The Paleo food web inference model (PFIM;</w:t>
      </w:r>
      <w:r>
        <w:t xml:space="preserve"> </w:t>
      </w:r>
      <w:r>
        <w:t xml:space="preserve">[12]</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[12]</w:t>
      </w:r>
      <w:r>
        <w:t xml:space="preserve"> </w:t>
      </w:r>
      <w:r>
        <w:t xml:space="preserve">also includes a</w:t>
      </w:r>
      <w:r>
        <w:t xml:space="preserve"> </w:t>
      </w:r>
      <w:r>
        <w:t xml:space="preserve">‘downsampling’</w:t>
      </w:r>
      <w:r>
        <w:t xml:space="preserve"> </w:t>
      </w:r>
      <w:r>
        <w:t xml:space="preserve">step developed by</w:t>
      </w:r>
      <w:r>
        <w:t xml:space="preserve"> </w:t>
      </w:r>
      <w:r>
        <w:t xml:space="preserve">[13]</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[27]</w:t>
      </w:r>
      <w:r>
        <w:t xml:space="preserve"> </w:t>
      </w:r>
      <w:r>
        <w:t xml:space="preserve">with the exception that</w:t>
      </w:r>
      <w:r>
        <w:t xml:space="preserve"> </w:t>
      </w:r>
      <w:r>
        <w:t xml:space="preserve">[12]</w:t>
      </w:r>
      <w:r>
        <w:t xml:space="preserve"> </w:t>
      </w:r>
      <w:r>
        <w:t xml:space="preserve">does not specifically bin species into guilds, and so we choose to use the method developed by</w:t>
      </w:r>
      <w:r>
        <w:t xml:space="preserve"> </w:t>
      </w:r>
      <w:r>
        <w:t xml:space="preserve">[12]</w:t>
      </w:r>
      <w:r>
        <w:t xml:space="preserve"> </w:t>
      </w:r>
      <w:r>
        <w:t xml:space="preserve">since both approaches should produce extremely similar networks as they are built on the same underlying philosophy.</w:t>
      </w:r>
    </w:p>
    <w:bookmarkEnd w:id="33"/>
    <w:bookmarkStart w:id="35" w:name="body-size-ratio-model"/>
    <w:p>
      <w:pPr>
        <w:pStyle w:val="Heading3"/>
      </w:pPr>
      <w:r>
        <w:t xml:space="preserve">3.3.2 Body size ratio model</w:t>
      </w:r>
    </w:p>
    <w:p>
      <w:pPr>
        <w:pStyle w:val="FirstParagraph"/>
      </w:pPr>
      <w:r>
        <w:t xml:space="preserve">The body size ratio model</w:t>
      </w:r>
      <w:r>
        <w:t xml:space="preserve"> </w:t>
      </w:r>
      <w:r>
        <w:t xml:space="preserve">[24]</w:t>
      </w:r>
      <w:r>
        <w:t xml:space="preserve"> </w:t>
      </w:r>
      <w:r>
        <w:t xml:space="preserve">determines the probability of feeding interactions occurring between species by using the ratio between the consumer (</w:t>
      </w:r>
      <m:oMath>
        <m:sSub>
          <m:e>
            <m:r>
              <m:t>M</m:t>
            </m:r>
          </m:e>
          <m:sub>
            <m:r>
              <m:t>i</m:t>
            </m:r>
          </m:sub>
        </m:sSub>
      </m:oMath>
      <w:r>
        <w:t xml:space="preserve">) and resource (</w:t>
      </w:r>
      <m:oMath>
        <m:sSub>
          <m:e>
            <m:r>
              <m:t>M</m:t>
            </m:r>
          </m:e>
          <m:sub>
            <m:r>
              <m:t>j</m:t>
            </m:r>
          </m:sub>
        </m:sSub>
      </m:oMath>
      <w:r>
        <w:t xml:space="preserve">) body sizes. In order to represent the predator-prey bodymass ratio as a</w:t>
      </w:r>
      <w:r>
        <w:t xml:space="preserve"> </w:t>
      </w:r>
      <w:r>
        <w:t xml:space="preserve">‘feeding niche’</w:t>
      </w:r>
      <w:r>
        <w:t xml:space="preserve"> </w:t>
      </w:r>
      <w:r>
        <w:t xml:space="preserve">the ratio is also modified by both a</w:t>
      </w:r>
      <w:r>
        <w:t xml:space="preserve"> </w:t>
      </w:r>
      <m:oMath>
        <m:r>
          <m:t>β</m:t>
        </m:r>
      </m:oMath>
      <w:r>
        <w:t xml:space="preserve"> </w:t>
      </w:r>
      <w:r>
        <w:t xml:space="preserve">and</w:t>
      </w:r>
      <w:r>
        <w:t xml:space="preserve"> </w:t>
      </w:r>
      <m:oMath>
        <m:r>
          <m:t>γ</m:t>
        </m:r>
      </m:oMath>
      <w:r>
        <w:t xml:space="preserve"> </w:t>
      </w:r>
      <w:r>
        <w:t xml:space="preserve">distribution.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4"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1</m:t>
              </m:r>
            </m:e>
          </m:d>
        </m:oMath>
      </m:oMathPara>
      <w:bookmarkEnd w:id="34"/>
    </w:p>
    <w:p>
      <w:pPr>
        <w:pStyle w:val="FirstParagraph"/>
      </w:pPr>
      <w:r>
        <w:t xml:space="preserve">The original latent-trait model developed by</w:t>
      </w:r>
      <w:r>
        <w:t xml:space="preserve"> </w:t>
      </w:r>
      <w:r>
        <w:t xml:space="preserve">[24]</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1</w:t>
        </w:r>
      </w:hyperlink>
      <w:r>
        <w:t xml:space="preserve"> </w:t>
      </w:r>
      <w:r>
        <w:t xml:space="preserve">as per</w:t>
      </w:r>
      <w:r>
        <w:t xml:space="preserve"> </w:t>
      </w:r>
      <w:r>
        <w:t xml:space="preserve">[6]</w:t>
      </w:r>
      <w:r>
        <w:t xml:space="preserve"> </w:t>
      </w:r>
      <w:r>
        <w:t xml:space="preserve">. Based on</w:t>
      </w:r>
      <w:r>
        <w:t xml:space="preserve"> </w:t>
      </w:r>
      <w:r>
        <w:t xml:space="preserve">[24]</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[6]</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5"/>
    <w:bookmarkEnd w:id="36"/>
    <w:bookmarkEnd w:id="37"/>
    <w:bookmarkStart w:id="63" w:name="X5d8f14e4bf601be5ae93afe49f520cb101804bb"/>
    <w:p>
      <w:pPr>
        <w:pStyle w:val="Heading1"/>
      </w:pPr>
      <w:r>
        <w:t xml:space="preserve">4. Case study: Toarcian mass extinction event</w:t>
      </w:r>
    </w:p>
    <w:bookmarkStart w:id="42" w:name="dataset-overview"/>
    <w:p>
      <w:pPr>
        <w:pStyle w:val="Heading2"/>
      </w:pPr>
      <w:r>
        <w:t xml:space="preserve">4.1 Dataset overview</w:t>
      </w:r>
    </w:p>
    <w:bookmarkStart w:id="38"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8"/>
    <w:bookmarkStart w:id="39"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[28]</w:t>
      </w:r>
      <w:r>
        <w:t xml:space="preserve">.</w:t>
      </w:r>
    </w:p>
    <w:bookmarkEnd w:id="39"/>
    <w:bookmarkStart w:id="40"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40"/>
    <w:bookmarkStart w:id="41" w:name="simulating-extinctions"/>
    <w:p>
      <w:pPr>
        <w:pStyle w:val="Heading3"/>
      </w:pPr>
      <w:r>
        <w:t xml:space="preserve">4.1.4 Simulating Extinctions</w:t>
      </w:r>
    </w:p>
    <w:bookmarkEnd w:id="41"/>
    <w:bookmarkEnd w:id="42"/>
    <w:bookmarkStart w:id="51" w:name="X44e8cb88ccba7b30e76f86a592fb5012e4e61c9"/>
    <w:p>
      <w:pPr>
        <w:pStyle w:val="Heading2"/>
      </w:pPr>
      <w:r>
        <w:t xml:space="preserve">4.2 Do different models recover different network structures?</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[29]</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ANOVA or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p>
    <w:tbl>
      <w:tblPr>
        <w:tblStyle w:val="Table"/>
        <w:tblW w:type="pct" w:w="5000"/>
        <w:tblLayout w:type="fixed"/>
        <w:tblLook w:firstRow="0" w:lastRow="0" w:firstColumn="0" w:lastColumn="0" w:noHBand="0" w:noVBand="0" w:val="0000"/>
      </w:tblPr>
      <w:tblGrid>
        <w:gridCol w:w="7920"/>
      </w:tblGrid>
      <w:tr>
        <w:tc>
          <w:tcPr/>
          <w:bookmarkStart w:id="43"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[25]</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[30]</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[29]</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[31]</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[32]</w:t>
                  </w:r>
                  <w:r>
                    <w:t xml:space="preserve">;</w:t>
                  </w:r>
                  <w:r>
                    <w:t xml:space="preserve"> </w:t>
                  </w:r>
                  <w:r>
                    <w:t xml:space="preserve">[33]</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[32]</w:t>
                  </w:r>
                  <w:r>
                    <w:t xml:space="preserve">;</w:t>
                  </w:r>
                  <w:r>
                    <w:t xml:space="preserve"> </w:t>
                  </w:r>
                  <w:r>
                    <w:t xml:space="preserve">[33]</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[32]</w:t>
                  </w:r>
                  <w:r>
                    <w:t xml:space="preserve">;</w:t>
                  </w:r>
                  <w:r>
                    <w:t xml:space="preserve"> </w:t>
                  </w:r>
                  <w:r>
                    <w:t xml:space="preserve">[33]</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[32]</w:t>
                  </w:r>
                  <w:r>
                    <w:t xml:space="preserve">;</w:t>
                  </w:r>
                  <w:r>
                    <w:t xml:space="preserve"> </w:t>
                  </w:r>
                  <w:r>
                    <w:t xml:space="preserve">[33]</w:t>
                  </w:r>
                </w:p>
              </w:tc>
            </w:tr>
          </w:tbl>
          <w:bookmarkEnd w:id="43"/>
          <w:p/>
        </w:tc>
      </w:tr>
    </w:tbl>
    <w:bookmarkStart w:id="44" w:name="macro-network-properties"/>
    <w:p>
      <w:pPr>
        <w:pStyle w:val="Heading3"/>
      </w:pPr>
      <w:r>
        <w:t xml:space="preserve">4.2.1 Macro network properties</w:t>
      </w:r>
    </w:p>
    <w:p>
      <w:pPr>
        <w:pStyle w:val="FirstParagraph"/>
      </w:pPr>
      <w:r>
        <w:rPr>
          <w:b/>
          <w:bCs/>
        </w:rPr>
        <w:t xml:space="preserve">Connectance</w:t>
      </w:r>
      <w:r>
        <w:t xml:space="preserve"> </w:t>
      </w:r>
      <w:r>
        <w:t xml:space="preserve">[34]</w:t>
      </w:r>
      <w:r>
        <w:t xml:space="preserve"> </w:t>
      </w:r>
      <w:r>
        <w:t xml:space="preserve">has been shown to be the feature of networks that underpin a series of other properties and function</w:t>
      </w:r>
      <w:r>
        <w:t xml:space="preserve"> </w:t>
      </w:r>
      <w:r>
        <w:t xml:space="preserve">[35]</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44"/>
    <w:bookmarkStart w:id="45"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[32,33]</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45"/>
    <w:bookmarkStart w:id="50"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[36]</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[37]</w:t>
      </w:r>
    </w:p>
    <w:tbl>
      <w:tblPr>
        <w:tblStyle w:val="Table"/>
        <w:tblW w:type="pct" w:w="5000"/>
        <w:tblLayout w:type="fixed"/>
        <w:tblLook w:firstRow="0" w:lastRow="0" w:firstColumn="0" w:lastColumn="0" w:noHBand="0" w:noVBand="0" w:val="0000"/>
      </w:tblPr>
      <w:tblGrid>
        <w:gridCol w:w="7920"/>
      </w:tblGrid>
      <w:tr>
        <w:tc>
          <w:tcPr/>
          <w:bookmarkStart w:id="49" w:name="fig-summary"/>
          <w:p>
            <w:pPr>
              <w:pStyle w:val="Compact"/>
              <w:jc w:val="center"/>
            </w:pPr>
            <w:r>
              <w:drawing>
                <wp:inline>
                  <wp:extent cx="5334000" cy="4267199"/>
                  <wp:effectExtent b="0" l="0" r="0" t="0"/>
                  <wp:docPr descr="" title="" id="47" name="Picture"/>
                  <a:graphic>
                    <a:graphicData uri="http://schemas.openxmlformats.org/drawingml/2006/picture">
                      <pic:pic>
                        <pic:nvPicPr>
                          <pic:cNvPr descr="figures/MANOVA_lda.png" id="48" name="Picture"/>
                          <pic:cNvPicPr>
                            <a:picLocks noChangeArrowheads="1" noChangeAspect="1"/>
                          </pic:cNvPicPr>
                        </pic:nvPicPr>
                        <pic:blipFill>
                          <a:blip r:embed="rId46"/>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9"/>
        </w:tc>
      </w:tr>
    </w:tbl>
    <w:p>
      <w:pPr>
        <w:pStyle w:val="BodyText"/>
      </w:pPr>
      <w:r>
        <w:t xml:space="preserve">And we can discuss the results and implications here…</w:t>
      </w:r>
    </w:p>
    <w:bookmarkEnd w:id="50"/>
    <w:bookmarkEnd w:id="51"/>
    <w:bookmarkStart w:id="56" w:name="X39dc4294b971338d243b05ce6908c1a68f53772"/>
    <w:p>
      <w:pPr>
        <w:pStyle w:val="Heading2"/>
      </w:pPr>
      <w:r>
        <w:t xml:space="preserve">4.3 Assessing pairwise interaction differences</w:t>
      </w:r>
    </w:p>
    <w:p>
      <w:pPr>
        <w:pStyle w:val="FirstParagraph"/>
      </w:pPr>
      <w:r>
        <w:rPr>
          <w:b/>
          <w:bCs/>
        </w:rPr>
        <w:t xml:space="preserve">Interaction turnover</w:t>
      </w:r>
      <w:r>
        <w:t xml:space="preserve"> </w:t>
      </w:r>
      <w:r>
        <w:t xml:space="preserve">[37]</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tbl>
      <w:tblPr>
        <w:tblStyle w:val="Table"/>
        <w:tblW w:type="pct" w:w="5000"/>
        <w:tblLayout w:type="fixed"/>
        <w:tblLook w:firstRow="0" w:lastRow="0" w:firstColumn="0" w:lastColumn="0" w:noHBand="0" w:noVBand="0" w:val="0000"/>
      </w:tblPr>
      <w:tblGrid>
        <w:gridCol w:w="7920"/>
      </w:tblGrid>
      <w:tr>
        <w:tc>
          <w:tcPr/>
          <w:bookmarkStart w:id="55" w:name="fig-beta_div"/>
          <w:p>
            <w:pPr>
              <w:pStyle w:val="Compact"/>
              <w:jc w:val="center"/>
            </w:pPr>
            <w:r>
              <w:drawing>
                <wp:inline>
                  <wp:extent cx="5334000" cy="5334000"/>
                  <wp:effectExtent b="0" l="0" r="0" t="0"/>
                  <wp:docPr descr="" title="" id="53" name="Picture"/>
                  <a:graphic>
                    <a:graphicData uri="http://schemas.openxmlformats.org/drawingml/2006/picture">
                      <pic:pic>
                        <pic:nvPicPr>
                          <pic:cNvPr descr="figures/beta_div.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55"/>
        </w:tc>
      </w:tr>
    </w:tbl>
    <w:bookmarkEnd w:id="56"/>
    <w:bookmarkStart w:id="62" w:name="assessing-network-inference"/>
    <w:p>
      <w:pPr>
        <w:pStyle w:val="Heading2"/>
      </w:pPr>
      <w:r>
        <w:t xml:space="preserve">4.4 Assessing network inference</w:t>
      </w:r>
    </w:p>
    <w:p>
      <w:pPr>
        <w:pStyle w:val="FirstParagraph"/>
      </w:pPr>
      <w:r>
        <w:t xml:space="preserve">Here we will look at extinctions of the different paleo TSS</w:t>
      </w:r>
      <w:r>
        <w:t xml:space="preserve"> </w:t>
      </w:r>
      <w:r>
        <w:t xml:space="preserve">[38]</w:t>
      </w:r>
    </w:p>
    <w:bookmarkStart w:id="61" w:name="robustness"/>
    <w:p>
      <w:pPr>
        <w:pStyle w:val="Heading3"/>
      </w:pPr>
      <w:r>
        <w:t xml:space="preserve">4.4.1 Robustness</w:t>
      </w:r>
    </w:p>
    <w:p>
      <w:pPr>
        <w:pStyle w:val="FirstParagraph"/>
      </w:pPr>
      <m:oMath>
        <m:sSub>
          <m:e>
            <m:r>
              <m:t>R</m:t>
            </m:r>
          </m:e>
          <m:sub>
            <m:r>
              <m:t>50</m:t>
            </m:r>
          </m:sub>
        </m:sSub>
      </m:oMath>
      <w:r>
        <w:t xml:space="preserve"> </w:t>
      </w:r>
      <w:r>
        <w:t xml:space="preserve">see</w:t>
      </w:r>
      <w:r>
        <w:t xml:space="preserve"> </w:t>
      </w:r>
      <w:r>
        <w:t xml:space="preserve">[39]</w:t>
      </w:r>
    </w:p>
    <w:tbl>
      <w:tblPr>
        <w:tblStyle w:val="Table"/>
        <w:tblW w:type="pct" w:w="5000"/>
        <w:tblLayout w:type="fixed"/>
        <w:tblLook w:firstRow="0" w:lastRow="0" w:firstColumn="0" w:lastColumn="0" w:noHBand="0" w:noVBand="0" w:val="0000"/>
      </w:tblPr>
      <w:tblGrid>
        <w:gridCol w:w="7920"/>
      </w:tblGrid>
      <w:tr>
        <w:tc>
          <w:tcPr/>
          <w:bookmarkStart w:id="60" w:name="fig-dunhill"/>
          <w:p>
            <w:pPr>
              <w:pStyle w:val="Compact"/>
              <w:jc w:val="center"/>
            </w:pPr>
            <w:r>
              <w:drawing>
                <wp:inline>
                  <wp:extent cx="5334000" cy="5715000"/>
                  <wp:effectExtent b="0" l="0" r="0" t="0"/>
                  <wp:docPr descr="" title="" id="58" name="Picture"/>
                  <a:graphic>
                    <a:graphicData uri="http://schemas.openxmlformats.org/drawingml/2006/picture">
                      <pic:pic>
                        <pic:nvPicPr>
                          <pic:cNvPr descr="figures/dunhill_comp.png" id="59" name="Picture"/>
                          <pic:cNvPicPr>
                            <a:picLocks noChangeArrowheads="1" noChangeAspect="1"/>
                          </pic:cNvPicPr>
                        </pic:nvPicPr>
                        <pic:blipFill>
                          <a:blip r:embed="rId57"/>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60"/>
        </w:tc>
      </w:tr>
    </w:tbl>
    <w:bookmarkEnd w:id="61"/>
    <w:bookmarkEnd w:id="62"/>
    <w:bookmarkEnd w:id="63"/>
    <w:bookmarkStart w:id="64" w:name="discussion"/>
    <w:p>
      <w:pPr>
        <w:pStyle w:val="Heading1"/>
      </w:pPr>
      <w:r>
        <w:t xml:space="preserve">Discussion</w:t>
      </w:r>
    </w:p>
    <w:p>
      <w:pPr>
        <w:pStyle w:val="FirstParagraph"/>
      </w:pPr>
      <w:r>
        <w:t xml:space="preserve">Blah blah blah</w:t>
      </w:r>
    </w:p>
    <w:bookmarkEnd w:id="64"/>
    <w:bookmarkStart w:id="141" w:name="references"/>
    <w:p>
      <w:pPr>
        <w:pStyle w:val="Heading1"/>
      </w:pPr>
      <w:r>
        <w:t xml:space="preserve">References</w:t>
      </w:r>
    </w:p>
    <w:bookmarkStart w:id="140" w:name="refs"/>
    <w:bookmarkStart w:id="66"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5">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6"/>
    <w:bookmarkStart w:id="68"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7">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8"/>
    <w:bookmarkStart w:id="69"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9"/>
    <w:bookmarkStart w:id="71"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0">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1"/>
    <w:bookmarkStart w:id="73"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2">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3"/>
    <w:bookmarkStart w:id="75"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4">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5"/>
    <w:bookmarkStart w:id="77" w:name="ref-jordano2016"/>
    <w:p>
      <w:pPr>
        <w:pStyle w:val="Bibliography"/>
      </w:pPr>
      <w:r>
        <w:t xml:space="preserve">7.</w:t>
      </w:r>
      <w:r>
        <w:t xml:space="preserve"> </w:t>
      </w:r>
      <w:r>
        <w:t xml:space="preserve">	</w:t>
      </w:r>
      <w:r>
        <w:t xml:space="preserve">Jordano, P. (2016)</w:t>
      </w:r>
      <w:r>
        <w:t xml:space="preserve"> </w:t>
      </w:r>
      <w:hyperlink r:id="rId76">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7"/>
    <w:bookmarkStart w:id="79"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9"/>
    <w:bookmarkStart w:id="81" w:name="ref-pichler2023"/>
    <w:p>
      <w:pPr>
        <w:pStyle w:val="Bibliography"/>
      </w:pPr>
      <w:r>
        <w:t xml:space="preserve">9.</w:t>
      </w:r>
      <w:r>
        <w:t xml:space="preserve"> </w:t>
      </w:r>
      <w:r>
        <w:t xml:space="preserve">	</w:t>
      </w:r>
      <w:r>
        <w:t xml:space="preserve">Pichler, M. and Hartig, F. (2023)</w:t>
      </w:r>
      <w:r>
        <w:t xml:space="preserve"> </w:t>
      </w:r>
      <w:hyperlink r:id="rId80">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1"/>
    <w:bookmarkStart w:id="83"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3"/>
    <w:bookmarkStart w:id="85"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6">
        <w:r>
          <w:rPr>
            <w:rStyle w:val="Hyperlink"/>
          </w:rPr>
          <w:t xml:space="preserve">A framework for reconstructing ancient food webs using functional trait data</w:t>
        </w:r>
      </w:hyperlink>
      <w:r>
        <w:t xml:space="preserve">bioRxiv, 2024.01.30.578036</w:t>
      </w:r>
    </w:p>
    <w:bookmarkEnd w:id="87"/>
    <w:bookmarkStart w:id="89" w:name="ref-roopnarine2006"/>
    <w:p>
      <w:pPr>
        <w:pStyle w:val="Bibliography"/>
      </w:pPr>
      <w:r>
        <w:t xml:space="preserve">13.</w:t>
      </w:r>
      <w:r>
        <w:t xml:space="preserve"> </w:t>
      </w:r>
      <w:r>
        <w:t xml:space="preserve">	</w:t>
      </w:r>
      <w:r>
        <w:t xml:space="preserve">Roopnarine, P.D. (2006)</w:t>
      </w:r>
      <w:r>
        <w:t xml:space="preserve"> </w:t>
      </w:r>
      <w:hyperlink r:id="rId88">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9"/>
    <w:bookmarkStart w:id="91"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1"/>
    <w:bookmarkStart w:id="93"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2">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3"/>
    <w:bookmarkStart w:id="95"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9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5"/>
    <w:bookmarkStart w:id="97" w:name="ref-williams2008"/>
    <w:p>
      <w:pPr>
        <w:pStyle w:val="Bibliography"/>
      </w:pPr>
      <w:r>
        <w:t xml:space="preserve">17.</w:t>
      </w:r>
      <w:r>
        <w:t xml:space="preserve"> </w:t>
      </w:r>
      <w:r>
        <w:t xml:space="preserve">	</w:t>
      </w:r>
      <w:r>
        <w:t xml:space="preserve">Williams, R.J. and Martinez, N.D. (2008)</w:t>
      </w:r>
      <w:r>
        <w:t xml:space="preserve"> </w:t>
      </w:r>
      <w:hyperlink r:id="rId9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7"/>
    <w:bookmarkStart w:id="99"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8">
        <w:r>
          <w:rPr>
            <w:rStyle w:val="Hyperlink"/>
          </w:rPr>
          <w:t xml:space="preserve">10.1038/s44358-025-00056-7</w:t>
        </w:r>
      </w:hyperlink>
    </w:p>
    <w:bookmarkEnd w:id="99"/>
    <w:bookmarkStart w:id="101"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0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01"/>
    <w:bookmarkStart w:id="103"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02">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103"/>
    <w:bookmarkStart w:id="105" w:name="ref-erdos1959"/>
    <w:p>
      <w:pPr>
        <w:pStyle w:val="Bibliography"/>
      </w:pPr>
      <w:r>
        <w:t xml:space="preserve">21.</w:t>
      </w:r>
      <w:r>
        <w:t xml:space="preserve"> </w:t>
      </w:r>
      <w:r>
        <w:t xml:space="preserve">	</w:t>
      </w:r>
      <w:r>
        <w:t xml:space="preserve">Erdős, P. and Rényi, A. (1959)</w:t>
      </w:r>
      <w:r>
        <w:t xml:space="preserve"> </w:t>
      </w:r>
      <w:hyperlink r:id="rId104">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105"/>
    <w:bookmarkStart w:id="107"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8">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9"/>
    <w:bookmarkStart w:id="111"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10">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11"/>
    <w:bookmarkStart w:id="113" w:name="ref-williams2000"/>
    <w:p>
      <w:pPr>
        <w:pStyle w:val="Bibliography"/>
      </w:pPr>
      <w:r>
        <w:t xml:space="preserve">25.</w:t>
      </w:r>
      <w:r>
        <w:t xml:space="preserve"> </w:t>
      </w:r>
      <w:r>
        <w:t xml:space="preserve">	</w:t>
      </w:r>
      <w:r>
        <w:t xml:space="preserve">Williams, R.J. and Martinez, N.D. (2000)</w:t>
      </w:r>
      <w:r>
        <w:t xml:space="preserve"> </w:t>
      </w:r>
      <w:hyperlink r:id="rId11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3"/>
    <w:bookmarkStart w:id="115" w:name="ref-gauzens2023"/>
    <w:p>
      <w:pPr>
        <w:pStyle w:val="Bibliography"/>
      </w:pPr>
      <w:r>
        <w:t xml:space="preserve">26.</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114">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115"/>
    <w:bookmarkStart w:id="116" w:name="ref-roopnarine2017"/>
    <w:p>
      <w:pPr>
        <w:pStyle w:val="Bibliography"/>
      </w:pPr>
      <w:r>
        <w:t xml:space="preserve">27.</w:t>
      </w:r>
      <w:r>
        <w:t xml:space="preserve"> </w:t>
      </w:r>
      <w:r>
        <w:t xml:space="preserve">	</w:t>
      </w:r>
      <w:r>
        <w:t xml:space="preserve">Roopnarine, P.D. (2017) Ecological Modelling of Paleocommunity Food Webspp. 201–226, University of Chicago Press</w:t>
      </w:r>
    </w:p>
    <w:bookmarkEnd w:id="116"/>
    <w:bookmarkStart w:id="118" w:name="ref-bambach2007"/>
    <w:p>
      <w:pPr>
        <w:pStyle w:val="Bibliography"/>
      </w:pPr>
      <w:r>
        <w:t xml:space="preserve">28.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1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8"/>
    <w:bookmarkStart w:id="120" w:name="ref-delmas2018"/>
    <w:p>
      <w:pPr>
        <w:pStyle w:val="Bibliography"/>
      </w:pPr>
      <w:r>
        <w:t xml:space="preserve">29.</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9">
        <w:r>
          <w:rPr>
            <w:rStyle w:val="Hyperlink"/>
          </w:rPr>
          <w:t xml:space="preserve">10.1111/brv.12433</w:t>
        </w:r>
      </w:hyperlink>
    </w:p>
    <w:bookmarkEnd w:id="120"/>
    <w:bookmarkStart w:id="122" w:name="ref-williams2004"/>
    <w:p>
      <w:pPr>
        <w:pStyle w:val="Bibliography"/>
      </w:pPr>
      <w:r>
        <w:t xml:space="preserve">30.</w:t>
      </w:r>
      <w:r>
        <w:t xml:space="preserve"> </w:t>
      </w:r>
      <w:r>
        <w:t xml:space="preserve">	</w:t>
      </w:r>
      <w:r>
        <w:t xml:space="preserve">Williams, R.J. and Martinez, N.D. (2004)</w:t>
      </w:r>
      <w:r>
        <w:t xml:space="preserve"> </w:t>
      </w:r>
      <w:hyperlink r:id="rId12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22"/>
    <w:bookmarkStart w:id="124" w:name="ref-staniczenko2013"/>
    <w:p>
      <w:pPr>
        <w:pStyle w:val="Bibliography"/>
      </w:pPr>
      <w:r>
        <w:t xml:space="preserve">31.</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2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24"/>
    <w:bookmarkStart w:id="126" w:name="ref-milo2002"/>
    <w:p>
      <w:pPr>
        <w:pStyle w:val="Bibliography"/>
      </w:pPr>
      <w:r>
        <w:t xml:space="preserve">32.</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2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26"/>
    <w:bookmarkStart w:id="128" w:name="ref-stouffer2007"/>
    <w:p>
      <w:pPr>
        <w:pStyle w:val="Bibliography"/>
      </w:pPr>
      <w:r>
        <w:t xml:space="preserve">33.</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2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28"/>
    <w:bookmarkStart w:id="130" w:name="ref-martinez1992"/>
    <w:p>
      <w:pPr>
        <w:pStyle w:val="Bibliography"/>
      </w:pPr>
      <w:r>
        <w:t xml:space="preserve">34.</w:t>
      </w:r>
      <w:r>
        <w:t xml:space="preserve"> </w:t>
      </w:r>
      <w:r>
        <w:t xml:space="preserve">	</w:t>
      </w:r>
      <w:r>
        <w:t xml:space="preserve">Martinez, N.D. (1992)</w:t>
      </w:r>
      <w:r>
        <w:t xml:space="preserve"> </w:t>
      </w:r>
      <w:hyperlink r:id="rId12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30"/>
    <w:bookmarkStart w:id="131" w:name="ref-strydom2021b"/>
    <w:p>
      <w:pPr>
        <w:pStyle w:val="Bibliography"/>
      </w:pPr>
      <w:r>
        <w:t xml:space="preserve">35.</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1"/>
    <w:bookmarkStart w:id="133" w:name="ref-schoener1989"/>
    <w:p>
      <w:pPr>
        <w:pStyle w:val="Bibliography"/>
      </w:pPr>
      <w:r>
        <w:t xml:space="preserve">36.</w:t>
      </w:r>
      <w:r>
        <w:t xml:space="preserve"> </w:t>
      </w:r>
      <w:r>
        <w:t xml:space="preserve">	</w:t>
      </w:r>
      <w:r>
        <w:t xml:space="preserve">Schoener, T.W. (1989)</w:t>
      </w:r>
      <w:r>
        <w:t xml:space="preserve"> </w:t>
      </w:r>
      <w:hyperlink r:id="rId13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33"/>
    <w:bookmarkStart w:id="135" w:name="ref-poisot2012"/>
    <w:p>
      <w:pPr>
        <w:pStyle w:val="Bibliography"/>
      </w:pPr>
      <w:r>
        <w:t xml:space="preserve">37.</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3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35"/>
    <w:bookmarkStart w:id="137" w:name="ref-gupta2022"/>
    <w:p>
      <w:pPr>
        <w:pStyle w:val="Bibliography"/>
      </w:pPr>
      <w:r>
        <w:t xml:space="preserve">38.</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36">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37"/>
    <w:bookmarkStart w:id="139" w:name="ref-jonsson2015"/>
    <w:p>
      <w:pPr>
        <w:pStyle w:val="Bibliography"/>
      </w:pPr>
      <w:r>
        <w:t xml:space="preserve">39.</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8">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9"/>
    <w:bookmarkEnd w:id="140"/>
    <w:bookmarkEnd w:id="14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20" Target="media/rId20.png" /><Relationship Type="http://schemas.openxmlformats.org/officeDocument/2006/relationships/hyperlink" Id="rId129" Target="http://www.jstor.org/stable/2462337" TargetMode="External" /><Relationship Type="http://schemas.openxmlformats.org/officeDocument/2006/relationships/hyperlink" Id="rId13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123" Target="https://doi.org/10.1038/ncomms2422" TargetMode="External" /><Relationship Type="http://schemas.openxmlformats.org/officeDocument/2006/relationships/hyperlink" Id="rId70" Target="https://doi.org/10.1038/s41467-024-53000-2" TargetMode="External" /><Relationship Type="http://schemas.openxmlformats.org/officeDocument/2006/relationships/hyperlink" Id="rId98" Target="https://doi.org/10.1038/s44358-025-00056-7" TargetMode="External" /><Relationship Type="http://schemas.openxmlformats.org/officeDocument/2006/relationships/hyperlink" Id="rId106" Target="https://doi.org/10.1073/pnas.0710672105" TargetMode="External" /><Relationship Type="http://schemas.openxmlformats.org/officeDocument/2006/relationships/hyperlink" Id="rId74"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7"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5"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94" Target="https://doi.org/10.1111/2041-210X.13835" TargetMode="External" /><Relationship Type="http://schemas.openxmlformats.org/officeDocument/2006/relationships/hyperlink" Id="rId80" Target="https://doi.org/10.1111/2041-210X.14061" TargetMode="External" /><Relationship Type="http://schemas.openxmlformats.org/officeDocument/2006/relationships/hyperlink" Id="rId114" Target="https://doi.org/10.1111/2041-210X.14212" TargetMode="External" /><Relationship Type="http://schemas.openxmlformats.org/officeDocument/2006/relationships/hyperlink" Id="rId100" Target="https://doi.org/10.1111/2041-210X.14228" TargetMode="External" /><Relationship Type="http://schemas.openxmlformats.org/officeDocument/2006/relationships/hyperlink" Id="rId119" Target="https://doi.org/10.1111/brv.12433" TargetMode="External" /><Relationship Type="http://schemas.openxmlformats.org/officeDocument/2006/relationships/hyperlink" Id="rId102" Target="https://doi.org/10.1111/ele.13966" TargetMode="External" /><Relationship Type="http://schemas.openxmlformats.org/officeDocument/2006/relationships/hyperlink" Id="rId72"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17" Target="https://doi.org/10.1111/j.1475-4983.2006.00611.x" TargetMode="External" /><Relationship Type="http://schemas.openxmlformats.org/officeDocument/2006/relationships/hyperlink" Id="rId134" Target="https://doi.org/10.1111/j.2041-210x.2011.00174.x" TargetMode="External" /><Relationship Type="http://schemas.openxmlformats.org/officeDocument/2006/relationships/hyperlink" Id="rId138" Target="https://doi.org/10.1111/oik.01588" TargetMode="External" /><Relationship Type="http://schemas.openxmlformats.org/officeDocument/2006/relationships/hyperlink" Id="rId84" Target="https://doi.org/10.1126/science.1156269" TargetMode="External" /><Relationship Type="http://schemas.openxmlformats.org/officeDocument/2006/relationships/hyperlink" Id="rId125"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21" Target="https://doi.org/10.1140/epjb/e2004-00122-1" TargetMode="External" /><Relationship Type="http://schemas.openxmlformats.org/officeDocument/2006/relationships/hyperlink" Id="rId76" Target="https://doi.org/10.1371/journal.pbio.1002559" TargetMode="External" /><Relationship Type="http://schemas.openxmlformats.org/officeDocument/2006/relationships/hyperlink" Id="rId132" Target="https://doi.org/10.2307/1938088" TargetMode="External" /><Relationship Type="http://schemas.openxmlformats.org/officeDocument/2006/relationships/hyperlink" Id="rId67" Target="https://doi.org/10.3389/fevo.2022.1031483" TargetMode="External" /><Relationship Type="http://schemas.openxmlformats.org/officeDocument/2006/relationships/hyperlink" Id="rId104" Target="https://doi.org/10.5486/pmd.1959.6.3-4.12" TargetMode="External" /><Relationship Type="http://schemas.openxmlformats.org/officeDocument/2006/relationships/hyperlink" Id="rId88"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9" Target="http://www.jstor.org/stable/2462337" TargetMode="External" /><Relationship Type="http://schemas.openxmlformats.org/officeDocument/2006/relationships/hyperlink" Id="rId136" Target="https://doi.org/10.1002/ece3.8643" TargetMode="External" /><Relationship Type="http://schemas.openxmlformats.org/officeDocument/2006/relationships/hyperlink" Id="rId78" Target="https://doi.org/10.1016/j.tree.2015.03.014" TargetMode="External" /><Relationship Type="http://schemas.openxmlformats.org/officeDocument/2006/relationships/hyperlink" Id="rId112" Target="https://doi.org/10.1038/35004572" TargetMode="External" /><Relationship Type="http://schemas.openxmlformats.org/officeDocument/2006/relationships/hyperlink" Id="rId108" Target="https://doi.org/10.1038/ncomms12718" TargetMode="External" /><Relationship Type="http://schemas.openxmlformats.org/officeDocument/2006/relationships/hyperlink" Id="rId123" Target="https://doi.org/10.1038/ncomms2422" TargetMode="External" /><Relationship Type="http://schemas.openxmlformats.org/officeDocument/2006/relationships/hyperlink" Id="rId70" Target="https://doi.org/10.1038/s41467-024-53000-2" TargetMode="External" /><Relationship Type="http://schemas.openxmlformats.org/officeDocument/2006/relationships/hyperlink" Id="rId98" Target="https://doi.org/10.1038/s44358-025-00056-7" TargetMode="External" /><Relationship Type="http://schemas.openxmlformats.org/officeDocument/2006/relationships/hyperlink" Id="rId106" Target="https://doi.org/10.1073/pnas.0710672105" TargetMode="External" /><Relationship Type="http://schemas.openxmlformats.org/officeDocument/2006/relationships/hyperlink" Id="rId74" Target="https://doi.org/10.1073/pnas.1408471111" TargetMode="External" /><Relationship Type="http://schemas.openxmlformats.org/officeDocument/2006/relationships/hyperlink" Id="rId110" Target="https://doi.org/10.1086/653667" TargetMode="External" /><Relationship Type="http://schemas.openxmlformats.org/officeDocument/2006/relationships/hyperlink" Id="rId127" Target="https://doi.org/10.1098/rspb.2007.0571" TargetMode="External" /><Relationship Type="http://schemas.openxmlformats.org/officeDocument/2006/relationships/hyperlink" Id="rId92" Target="https://doi.org/10.1098/rspb.2013.3280" TargetMode="External" /><Relationship Type="http://schemas.openxmlformats.org/officeDocument/2006/relationships/hyperlink" Id="rId65" Target="https://doi.org/10.1098/rstb.2019.0222" TargetMode="External" /><Relationship Type="http://schemas.openxmlformats.org/officeDocument/2006/relationships/hyperlink" Id="rId82" Target="https://doi.org/10.1098/rstb.2021.0063" TargetMode="External" /><Relationship Type="http://schemas.openxmlformats.org/officeDocument/2006/relationships/hyperlink" Id="rId86" Target="https://doi.org/10.1101/2024.01.30.578036" TargetMode="External" /><Relationship Type="http://schemas.openxmlformats.org/officeDocument/2006/relationships/hyperlink" Id="rId94" Target="https://doi.org/10.1111/2041-210X.13835" TargetMode="External" /><Relationship Type="http://schemas.openxmlformats.org/officeDocument/2006/relationships/hyperlink" Id="rId80" Target="https://doi.org/10.1111/2041-210X.14061" TargetMode="External" /><Relationship Type="http://schemas.openxmlformats.org/officeDocument/2006/relationships/hyperlink" Id="rId114" Target="https://doi.org/10.1111/2041-210X.14212" TargetMode="External" /><Relationship Type="http://schemas.openxmlformats.org/officeDocument/2006/relationships/hyperlink" Id="rId100" Target="https://doi.org/10.1111/2041-210X.14228" TargetMode="External" /><Relationship Type="http://schemas.openxmlformats.org/officeDocument/2006/relationships/hyperlink" Id="rId119" Target="https://doi.org/10.1111/brv.12433" TargetMode="External" /><Relationship Type="http://schemas.openxmlformats.org/officeDocument/2006/relationships/hyperlink" Id="rId102" Target="https://doi.org/10.1111/ele.13966" TargetMode="External" /><Relationship Type="http://schemas.openxmlformats.org/officeDocument/2006/relationships/hyperlink" Id="rId72" Target="https://doi.org/10.1111/gcb.70061" TargetMode="External" /><Relationship Type="http://schemas.openxmlformats.org/officeDocument/2006/relationships/hyperlink" Id="rId96" Target="https://doi.org/10.1111/j.1365-2656.2008.01362.x" TargetMode="External" /><Relationship Type="http://schemas.openxmlformats.org/officeDocument/2006/relationships/hyperlink" Id="rId117" Target="https://doi.org/10.1111/j.1475-4983.2006.00611.x" TargetMode="External" /><Relationship Type="http://schemas.openxmlformats.org/officeDocument/2006/relationships/hyperlink" Id="rId134" Target="https://doi.org/10.1111/j.2041-210x.2011.00174.x" TargetMode="External" /><Relationship Type="http://schemas.openxmlformats.org/officeDocument/2006/relationships/hyperlink" Id="rId138" Target="https://doi.org/10.1111/oik.01588" TargetMode="External" /><Relationship Type="http://schemas.openxmlformats.org/officeDocument/2006/relationships/hyperlink" Id="rId84" Target="https://doi.org/10.1126/science.1156269" TargetMode="External" /><Relationship Type="http://schemas.openxmlformats.org/officeDocument/2006/relationships/hyperlink" Id="rId125" Target="https://doi.org/10.1126/science.298.5594.824" TargetMode="External" /><Relationship Type="http://schemas.openxmlformats.org/officeDocument/2006/relationships/hyperlink" Id="rId90" Target="https://doi.org/10.1126/science.abn4012" TargetMode="External" /><Relationship Type="http://schemas.openxmlformats.org/officeDocument/2006/relationships/hyperlink" Id="rId121" Target="https://doi.org/10.1140/epjb/e2004-00122-1" TargetMode="External" /><Relationship Type="http://schemas.openxmlformats.org/officeDocument/2006/relationships/hyperlink" Id="rId76" Target="https://doi.org/10.1371/journal.pbio.1002559" TargetMode="External" /><Relationship Type="http://schemas.openxmlformats.org/officeDocument/2006/relationships/hyperlink" Id="rId132" Target="https://doi.org/10.2307/1938088" TargetMode="External" /><Relationship Type="http://schemas.openxmlformats.org/officeDocument/2006/relationships/hyperlink" Id="rId67" Target="https://doi.org/10.3389/fevo.2022.1031483" TargetMode="External" /><Relationship Type="http://schemas.openxmlformats.org/officeDocument/2006/relationships/hyperlink" Id="rId104" Target="https://doi.org/10.5486/pmd.1959.6.3-4.12" TargetMode="External" /><Relationship Type="http://schemas.openxmlformats.org/officeDocument/2006/relationships/hyperlink" Id="rId88"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2025-08-15T09:58:33Z</dcterms:created>
  <dcterms:modified xsi:type="dcterms:W3CDTF">2025-08-15T09:58:33Z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2025-08-15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